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670B81E4" w14:textId="3BF6A3A1" w:rsidR="00640732" w:rsidRPr="00640732" w:rsidRDefault="00640732" w:rsidP="00640732">
      <w:pPr>
        <w:suppressAutoHyphens w:val="0"/>
        <w:spacing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640732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>Platforma hemodynamiczna</w:t>
      </w:r>
      <w:r w:rsidR="00C347B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 w:bidi="ar-SA"/>
          <w14:ligatures w14:val="none"/>
        </w:rPr>
        <w:t xml:space="preserve"> – 1szt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5DBFA636" w14:textId="6E871BC1" w:rsidR="0014269B" w:rsidRDefault="0014269B" w:rsidP="00142320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063506AB" w14:textId="2BBEE7E3" w:rsidR="005119F3" w:rsidRPr="0014269B" w:rsidRDefault="00AB7145" w:rsidP="0014269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14269B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14269B"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14269B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640732">
        <w:trPr>
          <w:trHeight w:val="50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1F0B88B1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40732" w:rsidRPr="004F4563" w14:paraId="74F0948F" w14:textId="77777777" w:rsidTr="004510E8">
        <w:tc>
          <w:tcPr>
            <w:tcW w:w="709" w:type="dxa"/>
            <w:vAlign w:val="center"/>
          </w:tcPr>
          <w:p w14:paraId="4310D4C9" w14:textId="77777777" w:rsidR="00640732" w:rsidRPr="004F4563" w:rsidRDefault="00640732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7C00027" w14:textId="16A02473" w:rsidR="00640732" w:rsidRPr="00640732" w:rsidRDefault="00640732" w:rsidP="007B40B5">
            <w:pPr>
              <w:rPr>
                <w:rFonts w:ascii="Calibri" w:hAnsi="Calibri" w:cs="Calibri"/>
                <w:sz w:val="18"/>
                <w:szCs w:val="18"/>
              </w:rPr>
            </w:pPr>
            <w:r w:rsidRPr="00640732">
              <w:rPr>
                <w:rFonts w:ascii="Calibri" w:hAnsi="Calibri" w:cs="Calibri"/>
                <w:color w:val="000000"/>
                <w:sz w:val="18"/>
                <w:szCs w:val="18"/>
              </w:rPr>
              <w:t>Zaawansowany, kompaktowy system do ciągłego</w:t>
            </w:r>
            <w:r w:rsidR="0014269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(w czasie rzeczywistym)</w:t>
            </w:r>
            <w:r w:rsidRPr="0064073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małoinwazyjnego monitorowania parametrów hemodynamicznych pacjenta, przeznaczony na oddziały intensywnej terapii, OAIT oraz sale operacyjne. </w:t>
            </w:r>
          </w:p>
        </w:tc>
        <w:tc>
          <w:tcPr>
            <w:tcW w:w="1701" w:type="dxa"/>
            <w:vAlign w:val="center"/>
          </w:tcPr>
          <w:p w14:paraId="1BD2CFE8" w14:textId="2862246E" w:rsidR="00640732" w:rsidRDefault="00640732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7EB4F4" w14:textId="77777777" w:rsidR="00640732" w:rsidRPr="004F4563" w:rsidRDefault="00640732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4269B" w:rsidRPr="004F4563" w14:paraId="41A3722F" w14:textId="77777777" w:rsidTr="004510E8">
        <w:tc>
          <w:tcPr>
            <w:tcW w:w="709" w:type="dxa"/>
            <w:vAlign w:val="center"/>
          </w:tcPr>
          <w:p w14:paraId="36F79E74" w14:textId="77777777" w:rsidR="0014269B" w:rsidRPr="004F4563" w:rsidRDefault="0014269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486A99F" w14:textId="19A8FAA9" w:rsidR="0014269B" w:rsidRPr="00640732" w:rsidRDefault="0014269B" w:rsidP="007B40B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40732">
              <w:rPr>
                <w:rFonts w:ascii="Calibri" w:hAnsi="Calibri" w:cs="Calibri"/>
                <w:color w:val="000000"/>
                <w:sz w:val="18"/>
                <w:szCs w:val="18"/>
              </w:rPr>
              <w:t>Umożliwia ocenę funkcji układu krążenia w czasie rzeczywistym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261EAA" w14:textId="4A42B208" w:rsidR="0014269B" w:rsidRDefault="0014269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A733ACC" w14:textId="77777777" w:rsidR="0014269B" w:rsidRPr="004F4563" w:rsidRDefault="0014269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4269B" w:rsidRPr="004F4563" w14:paraId="29BF779B" w14:textId="77777777" w:rsidTr="004510E8">
        <w:tc>
          <w:tcPr>
            <w:tcW w:w="709" w:type="dxa"/>
            <w:vAlign w:val="center"/>
          </w:tcPr>
          <w:p w14:paraId="4C333001" w14:textId="77777777" w:rsidR="0014269B" w:rsidRPr="004F4563" w:rsidRDefault="0014269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2C58016" w14:textId="65BD54CE" w:rsidR="0014269B" w:rsidRPr="00640732" w:rsidRDefault="0014269B" w:rsidP="007B40B5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4269B">
              <w:rPr>
                <w:rFonts w:ascii="Calibri" w:hAnsi="Calibri" w:cs="Calibri"/>
                <w:color w:val="000000"/>
                <w:sz w:val="18"/>
                <w:szCs w:val="18"/>
              </w:rPr>
              <w:t>Platforma wyposażona w moduły pomiarowe pozwalające na analizę takich parametrów jak: rzut serca (CO), indeks sercowy (CI), objętość wyrzutowa (SV), opór obwodowy (SVR), preload (PPV, SVV), EVLW, CPO(CPI).</w:t>
            </w:r>
          </w:p>
        </w:tc>
        <w:tc>
          <w:tcPr>
            <w:tcW w:w="1701" w:type="dxa"/>
            <w:vAlign w:val="center"/>
          </w:tcPr>
          <w:p w14:paraId="4DCFB125" w14:textId="2E32FAEF" w:rsidR="0014269B" w:rsidRDefault="0014269B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  <w:r w:rsidR="00D336A8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CBBA86" w14:textId="77777777" w:rsidR="0014269B" w:rsidRPr="004F4563" w:rsidRDefault="0014269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1C2D3D4" w14:textId="77777777" w:rsidR="00D336A8" w:rsidRPr="007B40B5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Ocena hemodynamiczna układu krążenia metodą małoinwazyjną rozumianą jako:</w:t>
            </w:r>
          </w:p>
          <w:p w14:paraId="23C3EFFF" w14:textId="77777777" w:rsidR="00D336A8" w:rsidRDefault="00D336A8" w:rsidP="00D336A8">
            <w:pPr>
              <w:pStyle w:val="Akapitzlist"/>
              <w:numPr>
                <w:ilvl w:val="0"/>
                <w:numId w:val="19"/>
              </w:numPr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14269B">
              <w:rPr>
                <w:rFonts w:ascii="Calibri" w:hAnsi="Calibri" w:cs="Calibri"/>
                <w:sz w:val="18"/>
                <w:szCs w:val="18"/>
              </w:rPr>
              <w:t xml:space="preserve">bez użycia cewnika Swan-Ganza, </w:t>
            </w:r>
          </w:p>
          <w:p w14:paraId="7238551E" w14:textId="5FE40DDD" w:rsidR="00D336A8" w:rsidRDefault="00D336A8" w:rsidP="00D336A8">
            <w:pPr>
              <w:pStyle w:val="Akapitzlist"/>
              <w:numPr>
                <w:ilvl w:val="0"/>
                <w:numId w:val="19"/>
              </w:numPr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14269B">
              <w:rPr>
                <w:rFonts w:ascii="Calibri" w:hAnsi="Calibri" w:cs="Calibri"/>
                <w:sz w:val="18"/>
                <w:szCs w:val="18"/>
              </w:rPr>
              <w:t>pomiar parametrów hemodynamicznych z jednego dostępu naczyniowego</w:t>
            </w:r>
          </w:p>
          <w:p w14:paraId="602B704D" w14:textId="6A7DABE5" w:rsidR="00D336A8" w:rsidRPr="0014269B" w:rsidRDefault="00D336A8" w:rsidP="00D336A8">
            <w:pPr>
              <w:pStyle w:val="Akapitzlist"/>
              <w:numPr>
                <w:ilvl w:val="0"/>
                <w:numId w:val="19"/>
              </w:numPr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14269B">
              <w:rPr>
                <w:rFonts w:ascii="Calibri" w:hAnsi="Calibri" w:cs="Calibri"/>
                <w:sz w:val="18"/>
                <w:szCs w:val="18"/>
              </w:rPr>
              <w:t>pomiar u pacjentów zaintubowanych i nie zaintubowanych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57E9633B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35B49789" w:rsidR="00D336A8" w:rsidRPr="00263BF3" w:rsidRDefault="00D336A8" w:rsidP="00D336A8">
            <w:pPr>
              <w:pStyle w:val="Tekstkomentarza"/>
            </w:pPr>
            <w:r w:rsidRPr="007B40B5">
              <w:rPr>
                <w:rFonts w:ascii="Calibri" w:hAnsi="Calibri" w:cs="Calibri"/>
                <w:sz w:val="18"/>
              </w:rPr>
              <w:t>Analiza kształtu fali ciśnienia tętniczego do ciągłego (w czasie rzeczywistym) oznaczania ciśnienia krwi, trendu rzutu serca, reakcji hemodynamicznych na podanie płynów i innych parametrów pochodnych z wykorzystaniem jednego dostępu naczyniowego</w:t>
            </w:r>
            <w:r>
              <w:rPr>
                <w:rFonts w:ascii="Calibri" w:hAnsi="Calibri" w:cs="Calibri"/>
                <w:sz w:val="18"/>
              </w:rPr>
              <w:t xml:space="preserve"> </w:t>
            </w:r>
            <w:r w:rsidRPr="003B71DD">
              <w:rPr>
                <w:rFonts w:ascii="Calibri" w:hAnsi="Calibri" w:cs="Calibri"/>
                <w:sz w:val="18"/>
              </w:rPr>
              <w:t>lub w sposób równoważny funkcjonalnie</w:t>
            </w:r>
          </w:p>
        </w:tc>
        <w:tc>
          <w:tcPr>
            <w:tcW w:w="1701" w:type="dxa"/>
            <w:vAlign w:val="center"/>
          </w:tcPr>
          <w:p w14:paraId="05D9AB3B" w14:textId="5B733987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103B1201" w:rsidR="00D336A8" w:rsidRPr="004F4563" w:rsidRDefault="00D336A8" w:rsidP="00D336A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Ciągł</w:t>
            </w:r>
            <w:r>
              <w:rPr>
                <w:rFonts w:ascii="Calibri" w:hAnsi="Calibri" w:cs="Calibri"/>
                <w:sz w:val="18"/>
                <w:szCs w:val="18"/>
              </w:rPr>
              <w:t>y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(w czasie rzeczywistym) pomiar rzutu serca z analizy kształtu fali ciśnienia tętniczego, kalibrowanego metodą termodylucji przezpłucnej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</w:tc>
        <w:tc>
          <w:tcPr>
            <w:tcW w:w="1701" w:type="dxa"/>
            <w:vAlign w:val="center"/>
          </w:tcPr>
          <w:p w14:paraId="618511DC" w14:textId="5843628F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B71118A" w14:textId="7DC3D902" w:rsidR="00B51907" w:rsidRPr="00B51907" w:rsidRDefault="00B51907" w:rsidP="00B51907">
            <w:pPr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Wymagane monitorowane parametry hemodynamiczne</w:t>
            </w:r>
            <w:r w:rsidR="00FF4062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B51907">
              <w:rPr>
                <w:rFonts w:ascii="Calibri" w:hAnsi="Calibri" w:cs="Calibri"/>
                <w:sz w:val="18"/>
                <w:szCs w:val="18"/>
              </w:rPr>
              <w:t>co najmniej:</w:t>
            </w:r>
          </w:p>
          <w:p w14:paraId="7BBAAA2E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 w:hanging="283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skurczowe, rozkurczowe i średnie ciśnienie tętnicze,</w:t>
            </w:r>
          </w:p>
          <w:p w14:paraId="431F98C0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 w:hanging="283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częstość akcji serca,</w:t>
            </w:r>
          </w:p>
          <w:p w14:paraId="2E33E946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 w:hanging="283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lastRenderedPageBreak/>
              <w:t>rzut serca oraz jego indeksację do powierzchni ciała,</w:t>
            </w:r>
          </w:p>
          <w:p w14:paraId="1888EF02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objętość wyrzutową oraz jej zmienność,</w:t>
            </w:r>
          </w:p>
          <w:p w14:paraId="5845EBA1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wahania ciśnienia tętna,</w:t>
            </w:r>
          </w:p>
          <w:p w14:paraId="0D6D5968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obwodowy opór naczyniowy,</w:t>
            </w:r>
          </w:p>
          <w:p w14:paraId="370B9D0F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ośrodkowe ciśnienie żylne,</w:t>
            </w:r>
          </w:p>
          <w:p w14:paraId="53951DB7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wskaźniki kurczliwości i wydolności serca,</w:t>
            </w:r>
          </w:p>
          <w:p w14:paraId="1AA1EA72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parametry odpowiedzi hemodynamicznej na podanie płynów,</w:t>
            </w:r>
          </w:p>
          <w:p w14:paraId="50ABDFA5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wskaźniki obciążenia wstępnego serca,</w:t>
            </w:r>
          </w:p>
          <w:p w14:paraId="6CAF9AAD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parametry oceny zawartości płynów w klatce piersiowej i krążeniu płucnym,</w:t>
            </w:r>
          </w:p>
          <w:p w14:paraId="27CDC19B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wskaźniki przepuszczalności naczyń płucnych,</w:t>
            </w:r>
          </w:p>
          <w:p w14:paraId="1B891A5F" w14:textId="77777777" w:rsidR="00B51907" w:rsidRPr="00B51907" w:rsidRDefault="00B51907" w:rsidP="00B10840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temperatura krwi oraz – jeżeli wymagane do metody pomiarowej – temperatura czynnika pomiarowego,</w:t>
            </w:r>
          </w:p>
          <w:p w14:paraId="76467C80" w14:textId="48880382" w:rsidR="00D336A8" w:rsidRPr="004F4563" w:rsidRDefault="00B51907" w:rsidP="003201AD">
            <w:pPr>
              <w:numPr>
                <w:ilvl w:val="0"/>
                <w:numId w:val="22"/>
              </w:numPr>
              <w:tabs>
                <w:tab w:val="clear" w:pos="720"/>
                <w:tab w:val="num" w:pos="456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51907">
              <w:rPr>
                <w:rFonts w:ascii="Calibri" w:hAnsi="Calibri" w:cs="Calibri"/>
                <w:sz w:val="18"/>
                <w:szCs w:val="18"/>
              </w:rPr>
              <w:t>inne parametry pochodne, obliczane na podstawie danych hemodynamicznych.”</w:t>
            </w:r>
          </w:p>
        </w:tc>
        <w:tc>
          <w:tcPr>
            <w:tcW w:w="1701" w:type="dxa"/>
            <w:vAlign w:val="center"/>
          </w:tcPr>
          <w:p w14:paraId="09232307" w14:textId="59B41764" w:rsidR="00D336A8" w:rsidRPr="004F4563" w:rsidRDefault="00D336A8" w:rsidP="00D336A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F8D1861" w14:textId="77777777" w:rsidR="00B10840" w:rsidRPr="00B10840" w:rsidRDefault="00D336A8" w:rsidP="00B10840">
            <w:pPr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W celu zapewnienia możliwie najwyższej dokładności ciągłego pomiaru rzutu serca, system umożliwia kalibrację lub weryfikację pomiaru, realizowaną:</w:t>
            </w:r>
          </w:p>
          <w:p w14:paraId="44B20845" w14:textId="302DE28D" w:rsidR="00B10840" w:rsidRDefault="00D336A8" w:rsidP="00B10840">
            <w:pPr>
              <w:pStyle w:val="Akapitzlist"/>
              <w:numPr>
                <w:ilvl w:val="0"/>
                <w:numId w:val="23"/>
              </w:numPr>
              <w:tabs>
                <w:tab w:val="clear" w:pos="720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automatycznie, poprzez algorytmiczne wyznaczenie wartości odniesienia na podstawie parametrów hemodynamicznych i danych pacjenta,</w:t>
            </w:r>
          </w:p>
          <w:p w14:paraId="3056E33F" w14:textId="65B3FB06" w:rsidR="00D336A8" w:rsidRPr="00B10840" w:rsidRDefault="00D336A8" w:rsidP="00B10840">
            <w:pPr>
              <w:pStyle w:val="Akapitzlist"/>
              <w:numPr>
                <w:ilvl w:val="0"/>
                <w:numId w:val="23"/>
              </w:numPr>
              <w:tabs>
                <w:tab w:val="clear" w:pos="720"/>
              </w:tabs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oraz/lub poprzez odniesienie do wartości referencyjnej rzutu serca uzyskanej za pomocą innej, niezależnej technologii monitorowania hemodynamicznego lub rozwiązania równoważnego funkcjonalnie.</w:t>
            </w:r>
          </w:p>
        </w:tc>
        <w:tc>
          <w:tcPr>
            <w:tcW w:w="1701" w:type="dxa"/>
            <w:vAlign w:val="center"/>
          </w:tcPr>
          <w:p w14:paraId="1058B272" w14:textId="0D7FF235" w:rsidR="00D336A8" w:rsidRPr="004F4563" w:rsidRDefault="00D336A8" w:rsidP="00D336A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2AAD35AE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Urządzenie umożliwiające wybór kategorii pacjenta, pozwalając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na przełączanie pomiędzy trybem </w:t>
            </w:r>
            <w:r>
              <w:rPr>
                <w:rFonts w:ascii="Calibri" w:hAnsi="Calibri" w:cs="Calibri"/>
                <w:sz w:val="18"/>
                <w:szCs w:val="18"/>
              </w:rPr>
              <w:t>,,</w:t>
            </w:r>
            <w:r w:rsidRPr="007B40B5">
              <w:rPr>
                <w:rFonts w:ascii="Calibri" w:hAnsi="Calibri" w:cs="Calibri"/>
                <w:sz w:val="18"/>
                <w:szCs w:val="18"/>
              </w:rPr>
              <w:t>dorosły</w:t>
            </w:r>
            <w:r>
              <w:rPr>
                <w:rFonts w:ascii="Calibri" w:hAnsi="Calibri" w:cs="Calibri"/>
                <w:sz w:val="18"/>
                <w:szCs w:val="18"/>
              </w:rPr>
              <w:t>,,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i </w:t>
            </w:r>
            <w:r>
              <w:rPr>
                <w:rFonts w:ascii="Calibri" w:hAnsi="Calibri" w:cs="Calibri"/>
                <w:sz w:val="18"/>
                <w:szCs w:val="18"/>
              </w:rPr>
              <w:t>,,</w:t>
            </w:r>
            <w:r w:rsidRPr="007B40B5">
              <w:rPr>
                <w:rFonts w:ascii="Calibri" w:hAnsi="Calibri" w:cs="Calibri"/>
                <w:sz w:val="18"/>
                <w:szCs w:val="18"/>
              </w:rPr>
              <w:t>dziecko</w:t>
            </w:r>
            <w:r>
              <w:rPr>
                <w:rFonts w:ascii="Calibri" w:hAnsi="Calibri" w:cs="Calibri"/>
                <w:sz w:val="18"/>
                <w:szCs w:val="18"/>
              </w:rPr>
              <w:t>,,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w celu dostosowania parametrów monitorowania do wieku i fizjologii pacjenta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AB0A886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7564CF0C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Urządzenie posiadające funkcję przypomnienia o konieczności wymiany czujnika/cewnika (w tym cewnika centralnego), w celu zapewnienia ciągłości i dokładności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40E037C1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56EF2673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Urządzenie umożliwiające wybór miejsca wkłucia cewnika centralnego w celu dostosowania parametrów monitorowania do lokalizacji cewnika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055677AD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1B290E4B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 xml:space="preserve">Dane pomiarowe wyświetlane na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7B40B5">
              <w:rPr>
                <w:rFonts w:ascii="Calibri" w:hAnsi="Calibri" w:cs="Calibri"/>
                <w:sz w:val="18"/>
                <w:szCs w:val="18"/>
              </w:rPr>
              <w:t>13,3” ekranie o rozdzielczości Full HD – 1080 x 1920 pixeli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5D191620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33B0DB18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Wyświetlanie rzeczywistej krzywej ciśnienia tętniczego (AP)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1D5110A5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38903EB8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Wizualna sygnalizacja alarmowa (np. w formie diody LED lub rozwiązania równoważnego).</w:t>
            </w:r>
          </w:p>
        </w:tc>
        <w:tc>
          <w:tcPr>
            <w:tcW w:w="1701" w:type="dxa"/>
            <w:vAlign w:val="center"/>
          </w:tcPr>
          <w:p w14:paraId="0E58BAB3" w14:textId="7CB13F3E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CFF1D98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00DA3B0E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 xml:space="preserve">Obsługa monitora poprzez ekran dotykowy. </w:t>
            </w:r>
          </w:p>
        </w:tc>
        <w:tc>
          <w:tcPr>
            <w:tcW w:w="1701" w:type="dxa"/>
            <w:vAlign w:val="center"/>
          </w:tcPr>
          <w:p w14:paraId="57593FE3" w14:textId="48F30666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5E5C0095" w14:textId="77777777" w:rsidTr="004510E8">
        <w:tc>
          <w:tcPr>
            <w:tcW w:w="709" w:type="dxa"/>
            <w:vAlign w:val="center"/>
          </w:tcPr>
          <w:p w14:paraId="10C2B8CE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386AD7" w14:textId="59CD506E" w:rsidR="00D336A8" w:rsidRPr="007B40B5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Oprogramowanie w języku polskim</w:t>
            </w:r>
          </w:p>
        </w:tc>
        <w:tc>
          <w:tcPr>
            <w:tcW w:w="1701" w:type="dxa"/>
            <w:vAlign w:val="center"/>
          </w:tcPr>
          <w:p w14:paraId="24676FD5" w14:textId="52724C1E" w:rsidR="00D336A8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39FAEC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31D0F693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 xml:space="preserve">Prezentacja danych w postaci trendów graficznych. Możliwość </w:t>
            </w:r>
            <w:r>
              <w:rPr>
                <w:rFonts w:ascii="Calibri" w:hAnsi="Calibri" w:cs="Calibri"/>
                <w:sz w:val="18"/>
                <w:szCs w:val="18"/>
              </w:rPr>
              <w:t>jednoczesnego porównania co najmniej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dwóch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parametrów w formie 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krzywych trendu. </w:t>
            </w:r>
            <w:r>
              <w:rPr>
                <w:rFonts w:ascii="Calibri" w:hAnsi="Calibri" w:cs="Calibri"/>
                <w:sz w:val="18"/>
                <w:szCs w:val="18"/>
              </w:rPr>
              <w:t>Konfigurowalny z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akres czasowy trendu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obejmujący okresy co najmniej od 15 minut do 12 dni. </w:t>
            </w:r>
          </w:p>
        </w:tc>
        <w:tc>
          <w:tcPr>
            <w:tcW w:w="1701" w:type="dxa"/>
            <w:vAlign w:val="center"/>
          </w:tcPr>
          <w:p w14:paraId="71068DD6" w14:textId="11A73C34" w:rsidR="00D336A8" w:rsidRPr="004F4563" w:rsidRDefault="00B10840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13822E25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Wybór sposobu prezentacji danych pomiarowych – min. 4 tryby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79A47AE5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1A910667" w14:textId="77777777" w:rsidTr="004510E8">
        <w:tc>
          <w:tcPr>
            <w:tcW w:w="709" w:type="dxa"/>
            <w:vAlign w:val="center"/>
          </w:tcPr>
          <w:p w14:paraId="0C5F88C3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0E6506" w14:textId="04310269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Dla uzyskania maksymalnie dokładnego pomiaru ciągłego rzutu serca urządzenie posiadające opcję wyboru miejsca wkłucia cewnika centralnego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6B467C41" w14:textId="286373C9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A39A8A7" w14:textId="6D68D92F" w:rsidR="00D336A8" w:rsidRPr="007B40B5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d</w:t>
            </w:r>
            <w:r w:rsidRPr="007B40B5">
              <w:rPr>
                <w:rFonts w:ascii="Calibri" w:hAnsi="Calibri" w:cs="Calibri"/>
                <w:sz w:val="18"/>
                <w:szCs w:val="18"/>
              </w:rPr>
              <w:t>rukowania danych poprzez:</w:t>
            </w:r>
          </w:p>
          <w:p w14:paraId="1FD87F5A" w14:textId="77777777" w:rsidR="00D336A8" w:rsidRDefault="00D336A8" w:rsidP="00D336A8">
            <w:pPr>
              <w:pStyle w:val="Akapitzlist"/>
              <w:numPr>
                <w:ilvl w:val="0"/>
                <w:numId w:val="21"/>
              </w:numPr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E95315">
              <w:rPr>
                <w:rFonts w:ascii="Calibri" w:hAnsi="Calibri" w:cs="Calibri"/>
                <w:sz w:val="18"/>
                <w:szCs w:val="18"/>
              </w:rPr>
              <w:t>wirtualne drukowanie z portu USB do pliku PNG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9ADC822" w14:textId="4F9A54E5" w:rsidR="00D336A8" w:rsidRPr="00E95315" w:rsidRDefault="00D336A8" w:rsidP="00D336A8">
            <w:pPr>
              <w:pStyle w:val="Akapitzlist"/>
              <w:numPr>
                <w:ilvl w:val="0"/>
                <w:numId w:val="21"/>
              </w:numPr>
              <w:ind w:left="456"/>
              <w:rPr>
                <w:rFonts w:ascii="Calibri" w:hAnsi="Calibri" w:cs="Calibri"/>
                <w:sz w:val="18"/>
                <w:szCs w:val="18"/>
              </w:rPr>
            </w:pPr>
            <w:r w:rsidRPr="00E95315">
              <w:rPr>
                <w:rFonts w:ascii="Calibri" w:hAnsi="Calibri" w:cs="Calibri"/>
                <w:sz w:val="18"/>
                <w:szCs w:val="18"/>
              </w:rPr>
              <w:t>drukowanie poprzez sieć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0DD46E8B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06CCEFE" w14:textId="64F30BE9" w:rsidR="00D336A8" w:rsidRPr="002812B6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2812B6">
              <w:rPr>
                <w:rFonts w:ascii="Calibri" w:hAnsi="Calibri" w:cs="Calibri"/>
                <w:sz w:val="18"/>
                <w:szCs w:val="18"/>
              </w:rPr>
              <w:t>nterfejsy komunikacyjne umożliwiające:</w:t>
            </w:r>
          </w:p>
          <w:p w14:paraId="358B7AC6" w14:textId="77777777" w:rsidR="00B10840" w:rsidRDefault="00D336A8" w:rsidP="00B10840">
            <w:pPr>
              <w:pStyle w:val="Akapitzlist"/>
              <w:numPr>
                <w:ilvl w:val="0"/>
                <w:numId w:val="24"/>
              </w:numPr>
              <w:tabs>
                <w:tab w:val="clear" w:pos="720"/>
                <w:tab w:val="num" w:pos="598"/>
              </w:tabs>
              <w:ind w:left="598"/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eksport i import danych (np. poprzez porty USB lub rozwiązania równoważne),</w:t>
            </w:r>
          </w:p>
          <w:p w14:paraId="28C817E2" w14:textId="77777777" w:rsidR="00B10840" w:rsidRDefault="00D336A8" w:rsidP="00B10840">
            <w:pPr>
              <w:pStyle w:val="Akapitzlist"/>
              <w:numPr>
                <w:ilvl w:val="0"/>
                <w:numId w:val="24"/>
              </w:numPr>
              <w:tabs>
                <w:tab w:val="clear" w:pos="720"/>
                <w:tab w:val="num" w:pos="598"/>
              </w:tabs>
              <w:ind w:left="598"/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komunikację z siecią szpitalną (np. Ethernet/LAN),</w:t>
            </w:r>
          </w:p>
          <w:p w14:paraId="21416195" w14:textId="3AF6CA9F" w:rsidR="00D336A8" w:rsidRPr="00B10840" w:rsidRDefault="00D336A8" w:rsidP="00B10840">
            <w:pPr>
              <w:pStyle w:val="Akapitzlist"/>
              <w:numPr>
                <w:ilvl w:val="0"/>
                <w:numId w:val="24"/>
              </w:numPr>
              <w:tabs>
                <w:tab w:val="clear" w:pos="720"/>
                <w:tab w:val="num" w:pos="598"/>
              </w:tabs>
              <w:ind w:left="598"/>
              <w:rPr>
                <w:rFonts w:ascii="Calibri" w:hAnsi="Calibri" w:cs="Calibri"/>
                <w:sz w:val="18"/>
                <w:szCs w:val="18"/>
              </w:rPr>
            </w:pPr>
            <w:r w:rsidRPr="00B10840">
              <w:rPr>
                <w:rFonts w:ascii="Calibri" w:hAnsi="Calibri" w:cs="Calibri"/>
                <w:sz w:val="18"/>
                <w:szCs w:val="18"/>
              </w:rPr>
              <w:t>podłączenie urządzeń peryferyjnych oraz zewnętrznego monitora (przewodowo lub za pomocą rozwiązań równoważnych).</w:t>
            </w:r>
          </w:p>
        </w:tc>
        <w:tc>
          <w:tcPr>
            <w:tcW w:w="1701" w:type="dxa"/>
            <w:vAlign w:val="center"/>
          </w:tcPr>
          <w:p w14:paraId="644949C6" w14:textId="1B64D477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0BABA52C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Możliwość wykonywania i przechowywania do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40 zrzutów ekranu do późniejszej analizy stanu klinicznego pacjenta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2551ED56" w:rsidR="00D336A8" w:rsidRPr="00D336A8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51A4127" w14:textId="77777777" w:rsidTr="004510E8">
        <w:tc>
          <w:tcPr>
            <w:tcW w:w="709" w:type="dxa"/>
            <w:vAlign w:val="center"/>
          </w:tcPr>
          <w:p w14:paraId="01EEA1F6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C7F92A" w14:textId="21B3F3AD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7B40B5">
              <w:rPr>
                <w:rFonts w:ascii="Calibri" w:hAnsi="Calibri" w:cs="Calibri"/>
                <w:sz w:val="18"/>
                <w:szCs w:val="18"/>
              </w:rPr>
              <w:t>Zasilanie akumulatorowe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umożliwiające nieprzerwaną pracę urządzenia przez co najmniej</w:t>
            </w:r>
            <w:r w:rsidRPr="007B40B5">
              <w:rPr>
                <w:rFonts w:ascii="Calibri" w:hAnsi="Calibri" w:cs="Calibri"/>
                <w:sz w:val="18"/>
                <w:szCs w:val="18"/>
              </w:rPr>
              <w:t xml:space="preserve"> 60 minut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4AE8CD7" w14:textId="2BCC9488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7F5C687B" w14:textId="77777777" w:rsidTr="004510E8">
        <w:tc>
          <w:tcPr>
            <w:tcW w:w="709" w:type="dxa"/>
            <w:vAlign w:val="center"/>
          </w:tcPr>
          <w:p w14:paraId="1B424EA3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CF720B" w14:textId="5D691557" w:rsidR="00D336A8" w:rsidRPr="004F4563" w:rsidRDefault="00D336A8" w:rsidP="00D336A8">
            <w:pPr>
              <w:rPr>
                <w:rFonts w:ascii="Calibri" w:hAnsi="Calibri" w:cs="Calibri"/>
                <w:sz w:val="18"/>
                <w:szCs w:val="18"/>
              </w:rPr>
            </w:pPr>
            <w:r w:rsidRPr="00D336A8">
              <w:rPr>
                <w:rFonts w:ascii="Calibri" w:hAnsi="Calibri" w:cs="Calibri"/>
                <w:sz w:val="18"/>
                <w:szCs w:val="18"/>
              </w:rPr>
              <w:t>Możliwość transmisji i eksportu danych pomiarowych do systemów zewnętrznych (np. PDMS) oraz do drukarek sieciowych za pośrednictwem sieci lokalnej (LAN) lub rozwiązań równoważnych</w:t>
            </w:r>
            <w:r w:rsidR="00FF4062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2C8EA18A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25AC5A0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4FF6A7A" w14:textId="77777777" w:rsidTr="004510E8">
        <w:tc>
          <w:tcPr>
            <w:tcW w:w="709" w:type="dxa"/>
            <w:vAlign w:val="center"/>
          </w:tcPr>
          <w:p w14:paraId="17214354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209EBE" w14:textId="38665283" w:rsidR="00D336A8" w:rsidRPr="00E95315" w:rsidRDefault="00D336A8" w:rsidP="00D336A8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pl-PL" w:bidi="ar-SA"/>
              </w:rPr>
            </w:pPr>
            <w:r w:rsidRPr="00C15D86">
              <w:rPr>
                <w:rFonts w:ascii="Calibri" w:hAnsi="Calibri" w:cs="Calibri"/>
                <w:color w:val="000000"/>
                <w:sz w:val="18"/>
                <w:szCs w:val="18"/>
              </w:rPr>
              <w:t>System współpracuje z czujnikami i cewnikami niezbędnymi do realizacji pomiarów hemodynamicznych, dopuszczonymi do stosowania jako wyroby medyczne.</w:t>
            </w:r>
          </w:p>
        </w:tc>
        <w:tc>
          <w:tcPr>
            <w:tcW w:w="1701" w:type="dxa"/>
            <w:vAlign w:val="center"/>
          </w:tcPr>
          <w:p w14:paraId="6876C5D3" w14:textId="6C68820A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D336A8" w:rsidRPr="004F4563" w:rsidRDefault="00D336A8" w:rsidP="00D336A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D336A8" w:rsidRPr="004F4563" w:rsidRDefault="00D336A8" w:rsidP="00D336A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0F33CF30" w:rsidR="00D336A8" w:rsidRPr="004F4563" w:rsidRDefault="00D336A8" w:rsidP="00D336A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z obsługi dla min 5 osób, trwające min. 6 godzin</w:t>
            </w:r>
            <w:r w:rsidR="00B108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6FCE1A89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D336A8" w:rsidRPr="004F4563" w:rsidRDefault="00D336A8" w:rsidP="00D336A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D336A8" w:rsidRPr="004F4563" w:rsidRDefault="00D336A8" w:rsidP="00D336A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336A8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D336A8" w:rsidRPr="004F4563" w:rsidRDefault="00D336A8" w:rsidP="00D336A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112725AE" w:rsidR="00D336A8" w:rsidRPr="004F4563" w:rsidRDefault="00D336A8" w:rsidP="00D336A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Minimum: 36 m</w:t>
            </w:r>
            <w:r w:rsidR="00640B5D">
              <w:rPr>
                <w:rFonts w:ascii="Calibri" w:hAnsi="Calibri" w:cs="Calibri"/>
                <w:sz w:val="18"/>
                <w:szCs w:val="18"/>
              </w:rPr>
              <w:t>iesięcy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422A292F" w:rsidR="00D336A8" w:rsidRPr="004F4563" w:rsidRDefault="00D336A8" w:rsidP="00D336A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D336A8" w:rsidRPr="004F4563" w:rsidRDefault="00D336A8" w:rsidP="00D336A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5A028C14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82057" w14:textId="77777777" w:rsidR="00281EFC" w:rsidRDefault="00281EFC" w:rsidP="0067003B">
      <w:pPr>
        <w:spacing w:line="240" w:lineRule="auto"/>
      </w:pPr>
      <w:r>
        <w:separator/>
      </w:r>
    </w:p>
  </w:endnote>
  <w:endnote w:type="continuationSeparator" w:id="0">
    <w:p w14:paraId="3A6FF52E" w14:textId="77777777" w:rsidR="00281EFC" w:rsidRDefault="00281EF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E6736" w14:textId="77777777" w:rsidR="00281EFC" w:rsidRDefault="00281EFC" w:rsidP="0067003B">
      <w:pPr>
        <w:spacing w:line="240" w:lineRule="auto"/>
      </w:pPr>
      <w:r>
        <w:separator/>
      </w:r>
    </w:p>
  </w:footnote>
  <w:footnote w:type="continuationSeparator" w:id="0">
    <w:p w14:paraId="5605A714" w14:textId="77777777" w:rsidR="00281EFC" w:rsidRDefault="00281EF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BF511" w14:textId="3A1F074B" w:rsidR="00CC2749" w:rsidRDefault="00CC2749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07558EE1" wp14:editId="09DED542">
          <wp:extent cx="5760720" cy="586740"/>
          <wp:effectExtent l="0" t="0" r="0" b="3810"/>
          <wp:docPr id="12419347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47B466E3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5E5DDC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5E5DDC">
      <w:rPr>
        <w:rFonts w:ascii="Calibri" w:hAnsi="Calibri" w:cs="Calibri"/>
        <w:sz w:val="16"/>
        <w:szCs w:val="16"/>
      </w:rPr>
      <w:t>122/KAHP/2026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92157C5"/>
    <w:multiLevelType w:val="hybridMultilevel"/>
    <w:tmpl w:val="DE98F9D0"/>
    <w:lvl w:ilvl="0" w:tplc="5CD83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9B49A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FDC9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ACF1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7D6A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A7A1C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D041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85AB8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36F5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86391"/>
    <w:multiLevelType w:val="multilevel"/>
    <w:tmpl w:val="45F2D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4FF7"/>
    <w:multiLevelType w:val="hybridMultilevel"/>
    <w:tmpl w:val="F26EF786"/>
    <w:lvl w:ilvl="0" w:tplc="6642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22E7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1D413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AC8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E3E3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85A66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DB05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20CC4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8A48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0681"/>
    <w:multiLevelType w:val="multilevel"/>
    <w:tmpl w:val="45F2D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9" w15:restartNumberingAfterBreak="0">
    <w:nsid w:val="2AB35E9D"/>
    <w:multiLevelType w:val="hybridMultilevel"/>
    <w:tmpl w:val="FAA639C0"/>
    <w:lvl w:ilvl="0" w:tplc="7BF278C0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B1BEE"/>
    <w:multiLevelType w:val="hybridMultilevel"/>
    <w:tmpl w:val="68ACFA5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D2D03"/>
    <w:multiLevelType w:val="multilevel"/>
    <w:tmpl w:val="0E287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670B3"/>
    <w:multiLevelType w:val="hybridMultilevel"/>
    <w:tmpl w:val="B24210B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5636"/>
    <w:multiLevelType w:val="multilevel"/>
    <w:tmpl w:val="45F2D4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A03D7"/>
    <w:multiLevelType w:val="multilevel"/>
    <w:tmpl w:val="0E94A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82142"/>
    <w:multiLevelType w:val="multilevel"/>
    <w:tmpl w:val="4266B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38693821">
    <w:abstractNumId w:val="6"/>
  </w:num>
  <w:num w:numId="2" w16cid:durableId="1731877861">
    <w:abstractNumId w:val="2"/>
  </w:num>
  <w:num w:numId="3" w16cid:durableId="2089306491">
    <w:abstractNumId w:val="21"/>
  </w:num>
  <w:num w:numId="4" w16cid:durableId="532307662">
    <w:abstractNumId w:val="12"/>
  </w:num>
  <w:num w:numId="5" w16cid:durableId="1233661948">
    <w:abstractNumId w:val="15"/>
  </w:num>
  <w:num w:numId="6" w16cid:durableId="372657266">
    <w:abstractNumId w:val="19"/>
  </w:num>
  <w:num w:numId="7" w16cid:durableId="698431075">
    <w:abstractNumId w:val="0"/>
  </w:num>
  <w:num w:numId="8" w16cid:durableId="1641305786">
    <w:abstractNumId w:val="18"/>
  </w:num>
  <w:num w:numId="9" w16cid:durableId="914514917">
    <w:abstractNumId w:val="22"/>
  </w:num>
  <w:num w:numId="10" w16cid:durableId="1481267697">
    <w:abstractNumId w:val="23"/>
  </w:num>
  <w:num w:numId="11" w16cid:durableId="1971940471">
    <w:abstractNumId w:val="8"/>
  </w:num>
  <w:num w:numId="12" w16cid:durableId="907765033">
    <w:abstractNumId w:val="4"/>
  </w:num>
  <w:num w:numId="13" w16cid:durableId="588780207">
    <w:abstractNumId w:val="17"/>
  </w:num>
  <w:num w:numId="14" w16cid:durableId="1518500106">
    <w:abstractNumId w:val="16"/>
  </w:num>
  <w:num w:numId="15" w16cid:durableId="1481582757">
    <w:abstractNumId w:val="11"/>
  </w:num>
  <w:num w:numId="16" w16cid:durableId="1080520828">
    <w:abstractNumId w:val="20"/>
  </w:num>
  <w:num w:numId="17" w16cid:durableId="810366447">
    <w:abstractNumId w:val="5"/>
  </w:num>
  <w:num w:numId="18" w16cid:durableId="1097629296">
    <w:abstractNumId w:val="1"/>
  </w:num>
  <w:num w:numId="19" w16cid:durableId="1815833602">
    <w:abstractNumId w:val="9"/>
  </w:num>
  <w:num w:numId="20" w16cid:durableId="871310101">
    <w:abstractNumId w:val="13"/>
  </w:num>
  <w:num w:numId="21" w16cid:durableId="740448550">
    <w:abstractNumId w:val="10"/>
  </w:num>
  <w:num w:numId="22" w16cid:durableId="1433280968">
    <w:abstractNumId w:val="14"/>
  </w:num>
  <w:num w:numId="23" w16cid:durableId="1909538346">
    <w:abstractNumId w:val="3"/>
  </w:num>
  <w:num w:numId="24" w16cid:durableId="20478999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ABF"/>
    <w:rsid w:val="000047B0"/>
    <w:rsid w:val="00014428"/>
    <w:rsid w:val="00014AF3"/>
    <w:rsid w:val="00017E6F"/>
    <w:rsid w:val="000237F6"/>
    <w:rsid w:val="000321E3"/>
    <w:rsid w:val="00053654"/>
    <w:rsid w:val="00093291"/>
    <w:rsid w:val="000A23FA"/>
    <w:rsid w:val="000B4DBC"/>
    <w:rsid w:val="000E1F85"/>
    <w:rsid w:val="00101EA0"/>
    <w:rsid w:val="00117556"/>
    <w:rsid w:val="001269C4"/>
    <w:rsid w:val="00141559"/>
    <w:rsid w:val="00141AED"/>
    <w:rsid w:val="00142320"/>
    <w:rsid w:val="0014269B"/>
    <w:rsid w:val="00152886"/>
    <w:rsid w:val="00165663"/>
    <w:rsid w:val="0016606D"/>
    <w:rsid w:val="00172AF9"/>
    <w:rsid w:val="001750BF"/>
    <w:rsid w:val="001D43B1"/>
    <w:rsid w:val="001D5E90"/>
    <w:rsid w:val="001F14F0"/>
    <w:rsid w:val="00203D42"/>
    <w:rsid w:val="00205F70"/>
    <w:rsid w:val="0021244C"/>
    <w:rsid w:val="0023501F"/>
    <w:rsid w:val="00256106"/>
    <w:rsid w:val="00263BF3"/>
    <w:rsid w:val="002812B6"/>
    <w:rsid w:val="00281EFC"/>
    <w:rsid w:val="002950BD"/>
    <w:rsid w:val="00297EC9"/>
    <w:rsid w:val="002A525A"/>
    <w:rsid w:val="002B14AA"/>
    <w:rsid w:val="002D125F"/>
    <w:rsid w:val="002F53A5"/>
    <w:rsid w:val="00315410"/>
    <w:rsid w:val="003201AD"/>
    <w:rsid w:val="00320C0D"/>
    <w:rsid w:val="003316C1"/>
    <w:rsid w:val="00340383"/>
    <w:rsid w:val="00374339"/>
    <w:rsid w:val="00384270"/>
    <w:rsid w:val="00391526"/>
    <w:rsid w:val="003961FE"/>
    <w:rsid w:val="00397870"/>
    <w:rsid w:val="003A4FE2"/>
    <w:rsid w:val="003A7B01"/>
    <w:rsid w:val="003B71DD"/>
    <w:rsid w:val="003D1978"/>
    <w:rsid w:val="003D2730"/>
    <w:rsid w:val="003D3036"/>
    <w:rsid w:val="003D48D3"/>
    <w:rsid w:val="00406F1E"/>
    <w:rsid w:val="00415DCC"/>
    <w:rsid w:val="00416B5B"/>
    <w:rsid w:val="00423A29"/>
    <w:rsid w:val="0044213E"/>
    <w:rsid w:val="00444D16"/>
    <w:rsid w:val="0045062B"/>
    <w:rsid w:val="004510E8"/>
    <w:rsid w:val="00465BCC"/>
    <w:rsid w:val="00496BED"/>
    <w:rsid w:val="00496E6F"/>
    <w:rsid w:val="004B7376"/>
    <w:rsid w:val="004D4397"/>
    <w:rsid w:val="004D6D42"/>
    <w:rsid w:val="004F4563"/>
    <w:rsid w:val="00505D90"/>
    <w:rsid w:val="005119F3"/>
    <w:rsid w:val="00516591"/>
    <w:rsid w:val="00525EDA"/>
    <w:rsid w:val="00532D55"/>
    <w:rsid w:val="005340B5"/>
    <w:rsid w:val="00547308"/>
    <w:rsid w:val="005C42D5"/>
    <w:rsid w:val="005E5DDC"/>
    <w:rsid w:val="00603CA0"/>
    <w:rsid w:val="00614642"/>
    <w:rsid w:val="00630726"/>
    <w:rsid w:val="00640732"/>
    <w:rsid w:val="00640B5D"/>
    <w:rsid w:val="00643DC7"/>
    <w:rsid w:val="00667B18"/>
    <w:rsid w:val="0067003B"/>
    <w:rsid w:val="00673F17"/>
    <w:rsid w:val="00682779"/>
    <w:rsid w:val="006B0182"/>
    <w:rsid w:val="006C6ED7"/>
    <w:rsid w:val="006D703C"/>
    <w:rsid w:val="006E19E2"/>
    <w:rsid w:val="007159D7"/>
    <w:rsid w:val="00730251"/>
    <w:rsid w:val="00737F5F"/>
    <w:rsid w:val="0076322A"/>
    <w:rsid w:val="007829BB"/>
    <w:rsid w:val="00790FB2"/>
    <w:rsid w:val="007A4827"/>
    <w:rsid w:val="007A604B"/>
    <w:rsid w:val="007A63B5"/>
    <w:rsid w:val="007B40B5"/>
    <w:rsid w:val="007F7A15"/>
    <w:rsid w:val="00814647"/>
    <w:rsid w:val="00832F19"/>
    <w:rsid w:val="00834BF7"/>
    <w:rsid w:val="00842792"/>
    <w:rsid w:val="00850CDD"/>
    <w:rsid w:val="00855516"/>
    <w:rsid w:val="008B026F"/>
    <w:rsid w:val="008B08AC"/>
    <w:rsid w:val="008B4FA0"/>
    <w:rsid w:val="008C3F43"/>
    <w:rsid w:val="008E3901"/>
    <w:rsid w:val="008F09F6"/>
    <w:rsid w:val="00901E62"/>
    <w:rsid w:val="0090382D"/>
    <w:rsid w:val="00924F73"/>
    <w:rsid w:val="00931393"/>
    <w:rsid w:val="00955EFA"/>
    <w:rsid w:val="009645AD"/>
    <w:rsid w:val="00966D03"/>
    <w:rsid w:val="00982B29"/>
    <w:rsid w:val="00982FAE"/>
    <w:rsid w:val="009930E0"/>
    <w:rsid w:val="009D3DF1"/>
    <w:rsid w:val="009D6A05"/>
    <w:rsid w:val="009F4F29"/>
    <w:rsid w:val="00A15D53"/>
    <w:rsid w:val="00A15DF0"/>
    <w:rsid w:val="00A618C3"/>
    <w:rsid w:val="00A839BF"/>
    <w:rsid w:val="00AA2E6E"/>
    <w:rsid w:val="00AB7145"/>
    <w:rsid w:val="00AC3ACD"/>
    <w:rsid w:val="00AC5092"/>
    <w:rsid w:val="00AD1253"/>
    <w:rsid w:val="00AD185E"/>
    <w:rsid w:val="00AD7C98"/>
    <w:rsid w:val="00AE01DF"/>
    <w:rsid w:val="00B10840"/>
    <w:rsid w:val="00B10AB9"/>
    <w:rsid w:val="00B43994"/>
    <w:rsid w:val="00B51907"/>
    <w:rsid w:val="00B768CD"/>
    <w:rsid w:val="00B96A97"/>
    <w:rsid w:val="00BB1739"/>
    <w:rsid w:val="00BB5DD9"/>
    <w:rsid w:val="00BE0E16"/>
    <w:rsid w:val="00BE54E8"/>
    <w:rsid w:val="00BF017A"/>
    <w:rsid w:val="00C1320E"/>
    <w:rsid w:val="00C15D86"/>
    <w:rsid w:val="00C33E7E"/>
    <w:rsid w:val="00C347B1"/>
    <w:rsid w:val="00C77259"/>
    <w:rsid w:val="00C84130"/>
    <w:rsid w:val="00C97584"/>
    <w:rsid w:val="00CA490B"/>
    <w:rsid w:val="00CC2598"/>
    <w:rsid w:val="00CC2749"/>
    <w:rsid w:val="00CC62BF"/>
    <w:rsid w:val="00CE1AB0"/>
    <w:rsid w:val="00D336A8"/>
    <w:rsid w:val="00D36DAC"/>
    <w:rsid w:val="00D52064"/>
    <w:rsid w:val="00D542B4"/>
    <w:rsid w:val="00D569FC"/>
    <w:rsid w:val="00D84D8E"/>
    <w:rsid w:val="00DA3769"/>
    <w:rsid w:val="00DB6DF1"/>
    <w:rsid w:val="00DC6E54"/>
    <w:rsid w:val="00DE47E2"/>
    <w:rsid w:val="00E153CC"/>
    <w:rsid w:val="00E60B5B"/>
    <w:rsid w:val="00E95315"/>
    <w:rsid w:val="00E97961"/>
    <w:rsid w:val="00EA2265"/>
    <w:rsid w:val="00EA7E82"/>
    <w:rsid w:val="00ED0EC8"/>
    <w:rsid w:val="00ED21FE"/>
    <w:rsid w:val="00EE6B0D"/>
    <w:rsid w:val="00EF7DD5"/>
    <w:rsid w:val="00F24337"/>
    <w:rsid w:val="00F27E1D"/>
    <w:rsid w:val="00F35228"/>
    <w:rsid w:val="00F47B81"/>
    <w:rsid w:val="00F60B87"/>
    <w:rsid w:val="00F72B6F"/>
    <w:rsid w:val="00F9442E"/>
    <w:rsid w:val="00FA6354"/>
    <w:rsid w:val="00FC13F1"/>
    <w:rsid w:val="00FD4272"/>
    <w:rsid w:val="00FE4C1C"/>
    <w:rsid w:val="00FF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72B6F"/>
    <w:rPr>
      <w:b/>
      <w:bCs/>
    </w:rPr>
  </w:style>
  <w:style w:type="paragraph" w:styleId="NormalnyWeb">
    <w:name w:val="Normal (Web)"/>
    <w:basedOn w:val="Normalny"/>
    <w:uiPriority w:val="99"/>
    <w:unhideWhenUsed/>
    <w:rsid w:val="00F72B6F"/>
    <w:pPr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pl-P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726</Words>
  <Characters>4808</Characters>
  <Application>Microsoft Office Word</Application>
  <DocSecurity>0</DocSecurity>
  <Lines>77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6</cp:revision>
  <dcterms:created xsi:type="dcterms:W3CDTF">2026-04-09T10:35:00Z</dcterms:created>
  <dcterms:modified xsi:type="dcterms:W3CDTF">2026-04-15T14:47:00Z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